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EC4" w:rsidRPr="00350C82" w:rsidRDefault="00E02EC4" w:rsidP="00E02EC4">
      <w:pPr>
        <w:jc w:val="center"/>
        <w:rPr>
          <w:b/>
          <w:sz w:val="26"/>
          <w:szCs w:val="26"/>
        </w:rPr>
      </w:pPr>
      <w:r w:rsidRPr="00350C82">
        <w:rPr>
          <w:b/>
          <w:sz w:val="26"/>
          <w:szCs w:val="26"/>
        </w:rPr>
        <w:t>Τροποποιή</w:t>
      </w:r>
      <w:r w:rsidR="005052CC" w:rsidRPr="00350C82">
        <w:rPr>
          <w:b/>
          <w:sz w:val="26"/>
          <w:szCs w:val="26"/>
        </w:rPr>
        <w:t>σεις στα ερωτηματολόγια του 2026 συγκριτικά με του 2025</w:t>
      </w:r>
    </w:p>
    <w:p w:rsidR="008747FF" w:rsidRPr="00E02EC4" w:rsidRDefault="008747FF" w:rsidP="00E02EC4">
      <w:pPr>
        <w:jc w:val="center"/>
        <w:rPr>
          <w:b/>
        </w:rPr>
      </w:pPr>
    </w:p>
    <w:p w:rsidR="00862BDE" w:rsidRDefault="00862BDE" w:rsidP="00862BDE">
      <w:pPr>
        <w:pStyle w:val="a3"/>
        <w:keepNext/>
        <w:spacing w:before="120" w:after="120" w:line="276" w:lineRule="auto"/>
        <w:ind w:left="340" w:hanging="340"/>
        <w:contextualSpacing w:val="0"/>
        <w:rPr>
          <w:rFonts w:eastAsia="Times New Roman" w:cstheme="minorHAnsi"/>
          <w:lang w:eastAsia="el-GR"/>
        </w:rPr>
      </w:pPr>
      <w:r w:rsidRPr="00862BDE">
        <w:rPr>
          <w:b/>
          <w:color w:val="44546A" w:themeColor="text2"/>
          <w:sz w:val="24"/>
          <w:u w:val="single"/>
        </w:rPr>
        <w:t>1. Ερωτηματολόγια 02 (Ευρυζωνική αγορά)</w:t>
      </w:r>
    </w:p>
    <w:p w:rsidR="00862BDE" w:rsidRDefault="00862BDE" w:rsidP="00862BDE">
      <w:pPr>
        <w:spacing w:after="120"/>
        <w:jc w:val="both"/>
      </w:pPr>
      <w:r>
        <w:t>Έχουν γίνει τροποποιήσεις με βάση τις εξελίξεις στη λειτουργία της αγοράς.</w:t>
      </w:r>
    </w:p>
    <w:p w:rsidR="00862BDE" w:rsidRDefault="00862BDE" w:rsidP="00862BDE">
      <w:pPr>
        <w:rPr>
          <w:rFonts w:eastAsia="Times New Roman" w:cstheme="minorHAnsi"/>
          <w:lang w:eastAsia="el-GR"/>
        </w:rPr>
      </w:pPr>
      <w:r>
        <w:rPr>
          <w:b/>
        </w:rPr>
        <w:t>1.1 Αλλαγές στο ερωτηματολόγιο «2α. Ευρυζωνικ</w:t>
      </w:r>
      <w:r w:rsidR="00543239">
        <w:rPr>
          <w:b/>
        </w:rPr>
        <w:t xml:space="preserve">ή </w:t>
      </w:r>
      <w:r>
        <w:rPr>
          <w:b/>
        </w:rPr>
        <w:t>αγορά λιανικής»</w:t>
      </w:r>
    </w:p>
    <w:p w:rsidR="00862BDE" w:rsidRDefault="00862BDE" w:rsidP="00862BDE">
      <w:pPr>
        <w:jc w:val="both"/>
      </w:pPr>
      <w:r>
        <w:t>Στον πίνακα 4 (Γραμμές λοιπών τεχνολογιών (ιδίας ή μισθωμένης υποδομής)), έχουν πραγματοποιηθεί οι ακόλουθες αλλαγές:</w:t>
      </w:r>
    </w:p>
    <w:p w:rsidR="00862BDE" w:rsidRDefault="00862BDE" w:rsidP="00862BDE">
      <w:pPr>
        <w:pStyle w:val="a3"/>
        <w:numPr>
          <w:ilvl w:val="0"/>
          <w:numId w:val="2"/>
        </w:numPr>
        <w:jc w:val="both"/>
      </w:pPr>
      <w:r>
        <w:t xml:space="preserve">Διαχωρισμός των γραμμών Σταθερής Ασύρματης Πρόσβασης </w:t>
      </w:r>
      <w:r w:rsidRPr="00AE72B7">
        <w:t>(</w:t>
      </w:r>
      <w:r w:rsidRPr="00862BDE">
        <w:rPr>
          <w:lang w:val="en-US"/>
        </w:rPr>
        <w:t>FWA</w:t>
      </w:r>
      <w:r w:rsidRPr="00AE72B7">
        <w:t xml:space="preserve">) </w:t>
      </w:r>
      <w:r>
        <w:t xml:space="preserve">σε εκείνες που παρέχονται μέσω </w:t>
      </w:r>
    </w:p>
    <w:p w:rsidR="00862BDE" w:rsidRDefault="00862BDE" w:rsidP="00862BDE">
      <w:pPr>
        <w:pStyle w:val="a3"/>
        <w:numPr>
          <w:ilvl w:val="0"/>
          <w:numId w:val="3"/>
        </w:numPr>
        <w:ind w:left="1276"/>
        <w:jc w:val="both"/>
      </w:pPr>
      <w:r>
        <w:t>δικτύου κινητής (</w:t>
      </w:r>
      <w:r w:rsidRPr="00862BDE">
        <w:rPr>
          <w:lang w:val="en-US"/>
        </w:rPr>
        <w:t>FWA</w:t>
      </w:r>
      <w:r w:rsidRPr="00AE72B7">
        <w:t xml:space="preserve"> 5</w:t>
      </w:r>
      <w:r w:rsidRPr="00862BDE">
        <w:rPr>
          <w:lang w:val="en-US"/>
        </w:rPr>
        <w:t>G</w:t>
      </w:r>
      <w:r w:rsidRPr="00AE72B7">
        <w:t>/5</w:t>
      </w:r>
      <w:r w:rsidRPr="00862BDE">
        <w:rPr>
          <w:lang w:val="en-US"/>
        </w:rPr>
        <w:t>G</w:t>
      </w:r>
      <w:r w:rsidRPr="00AE72B7">
        <w:t xml:space="preserve">) </w:t>
      </w:r>
      <w:r>
        <w:t xml:space="preserve"> </w:t>
      </w:r>
    </w:p>
    <w:p w:rsidR="00862BDE" w:rsidRDefault="00862BDE" w:rsidP="00862BDE">
      <w:pPr>
        <w:pStyle w:val="a3"/>
        <w:numPr>
          <w:ilvl w:val="0"/>
          <w:numId w:val="3"/>
        </w:numPr>
        <w:ind w:left="1276"/>
        <w:jc w:val="both"/>
      </w:pPr>
      <w:r>
        <w:t xml:space="preserve">της τεχνολογίας </w:t>
      </w:r>
      <w:proofErr w:type="spellStart"/>
      <w:r w:rsidRPr="00862BDE">
        <w:rPr>
          <w:lang w:val="en-US"/>
        </w:rPr>
        <w:t>Wimax</w:t>
      </w:r>
      <w:proofErr w:type="spellEnd"/>
      <w:r w:rsidRPr="00D87FA3">
        <w:t xml:space="preserve"> (</w:t>
      </w:r>
      <w:r w:rsidRPr="00862BDE">
        <w:rPr>
          <w:lang w:val="en-US"/>
        </w:rPr>
        <w:t>FWA</w:t>
      </w:r>
      <w:r w:rsidRPr="00D87FA3">
        <w:t xml:space="preserve"> </w:t>
      </w:r>
      <w:proofErr w:type="spellStart"/>
      <w:r w:rsidRPr="00862BDE">
        <w:rPr>
          <w:lang w:val="en-US"/>
        </w:rPr>
        <w:t>Wimax</w:t>
      </w:r>
      <w:proofErr w:type="spellEnd"/>
      <w:r w:rsidRPr="00D87FA3">
        <w:t>)</w:t>
      </w:r>
      <w:r w:rsidRPr="00AE72B7">
        <w:t>.</w:t>
      </w:r>
    </w:p>
    <w:p w:rsidR="00862BDE" w:rsidRDefault="00862BDE" w:rsidP="00862BDE">
      <w:pPr>
        <w:pStyle w:val="a3"/>
        <w:numPr>
          <w:ilvl w:val="0"/>
          <w:numId w:val="2"/>
        </w:numPr>
        <w:jc w:val="both"/>
      </w:pPr>
      <w:r>
        <w:t xml:space="preserve">Ενσωμάτωση στη στήλη </w:t>
      </w:r>
      <w:r>
        <w:rPr>
          <w:lang w:val="en-US"/>
        </w:rPr>
        <w:t>G</w:t>
      </w:r>
      <w:r w:rsidRPr="00862BDE">
        <w:t xml:space="preserve"> </w:t>
      </w:r>
      <w:r>
        <w:t>των λοιπών τεχνολογιών (π.χ. LMDS/τύπου Μισθωμένων γραμμών κ.λπ.)</w:t>
      </w:r>
    </w:p>
    <w:p w:rsidR="00862BDE" w:rsidRDefault="00862BDE" w:rsidP="00440737">
      <w:pPr>
        <w:pStyle w:val="a3"/>
        <w:jc w:val="both"/>
      </w:pPr>
    </w:p>
    <w:p w:rsidR="00862BDE" w:rsidRPr="00332D79" w:rsidRDefault="00440737" w:rsidP="00862BDE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440737">
        <w:rPr>
          <w:rFonts w:eastAsia="Times New Roman" w:cstheme="minorHAnsi"/>
          <w:noProof/>
          <w:color w:val="000000"/>
          <w:lang w:eastAsia="el-GR"/>
        </w:rPr>
        <w:drawing>
          <wp:inline distT="0" distB="0" distL="0" distR="0" wp14:anchorId="3BEDE728" wp14:editId="1F154124">
            <wp:extent cx="6362700" cy="1958340"/>
            <wp:effectExtent l="0" t="0" r="0" b="381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62700" cy="195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BDE" w:rsidRDefault="00862BDE" w:rsidP="001B6A43">
      <w:pPr>
        <w:rPr>
          <w:rFonts w:eastAsia="Times New Roman" w:cstheme="minorHAnsi"/>
          <w:lang w:eastAsia="el-GR"/>
        </w:rPr>
      </w:pPr>
    </w:p>
    <w:p w:rsidR="00543239" w:rsidRPr="00543239" w:rsidRDefault="00543239" w:rsidP="00543239">
      <w:pPr>
        <w:keepNext/>
        <w:spacing w:after="120" w:line="276" w:lineRule="auto"/>
        <w:jc w:val="both"/>
        <w:rPr>
          <w:b/>
        </w:rPr>
      </w:pPr>
      <w:r w:rsidRPr="00350C82">
        <w:rPr>
          <w:b/>
        </w:rPr>
        <w:t xml:space="preserve">1.2 </w:t>
      </w:r>
      <w:r w:rsidRPr="00543239">
        <w:rPr>
          <w:b/>
        </w:rPr>
        <w:t>Αλλαγές στις Οδηγίες Συμπλήρωσης</w:t>
      </w:r>
    </w:p>
    <w:p w:rsidR="00543239" w:rsidRPr="00B86658" w:rsidRDefault="00350C82" w:rsidP="00543239">
      <w:pPr>
        <w:spacing w:after="120"/>
        <w:ind w:left="340"/>
        <w:jc w:val="both"/>
      </w:pPr>
      <w:r w:rsidRPr="00350C82">
        <w:t>Οι οδηγίες συμπλήρωσης έχουν τροποποιηθεί</w:t>
      </w:r>
      <w:r w:rsidR="00CA7B63">
        <w:t xml:space="preserve"> </w:t>
      </w:r>
      <w:r w:rsidRPr="00350C82">
        <w:t>με βάση τις αλλαγές στα ερωτηματολόγια</w:t>
      </w:r>
      <w:r w:rsidR="00543239">
        <w:t>.</w:t>
      </w:r>
    </w:p>
    <w:p w:rsidR="00543239" w:rsidRPr="00543239" w:rsidRDefault="00543239" w:rsidP="00543239">
      <w:pPr>
        <w:keepNext/>
        <w:spacing w:after="120" w:line="276" w:lineRule="auto"/>
        <w:jc w:val="both"/>
        <w:rPr>
          <w:b/>
        </w:rPr>
      </w:pPr>
      <w:r w:rsidRPr="00543239">
        <w:rPr>
          <w:b/>
        </w:rPr>
        <w:t xml:space="preserve">1.3 Αλλαγές στο </w:t>
      </w:r>
      <w:r w:rsidRPr="00CA7B63">
        <w:rPr>
          <w:b/>
          <w:u w:val="single"/>
        </w:rPr>
        <w:t>χρονοδιάγραμμα υποβολής</w:t>
      </w:r>
      <w:r w:rsidRPr="00543239">
        <w:rPr>
          <w:b/>
        </w:rPr>
        <w:t xml:space="preserve"> στοιχείων </w:t>
      </w:r>
      <w:r>
        <w:rPr>
          <w:b/>
        </w:rPr>
        <w:t xml:space="preserve">για τα ερωτηματολόγια </w:t>
      </w:r>
      <w:r w:rsidRPr="00B64870">
        <w:rPr>
          <w:b/>
          <w:u w:val="single"/>
        </w:rPr>
        <w:t>«2α. Ευρυζωνικά αγορά λιανικής»</w:t>
      </w:r>
      <w:r>
        <w:rPr>
          <w:b/>
        </w:rPr>
        <w:t xml:space="preserve"> και </w:t>
      </w:r>
      <w:r w:rsidRPr="00B64870">
        <w:rPr>
          <w:b/>
          <w:u w:val="single"/>
        </w:rPr>
        <w:t>«2β. Ευρυζωνική αγορά χονδρικής»</w:t>
      </w:r>
    </w:p>
    <w:p w:rsidR="00543239" w:rsidRDefault="00543239" w:rsidP="00543239">
      <w:pPr>
        <w:spacing w:after="120"/>
        <w:ind w:left="340"/>
        <w:jc w:val="both"/>
      </w:pPr>
      <w:r>
        <w:t xml:space="preserve">Προτείνεται το ενδεχόμενο </w:t>
      </w:r>
      <w:r w:rsidRPr="00CA7B63">
        <w:rPr>
          <w:u w:val="single"/>
        </w:rPr>
        <w:t>δύο υποβολών, ανά εξάμηνο</w:t>
      </w:r>
      <w:r>
        <w:t>, ως εξής:</w:t>
      </w:r>
    </w:p>
    <w:p w:rsidR="00543239" w:rsidRPr="00543239" w:rsidRDefault="00543239" w:rsidP="000D268C">
      <w:pPr>
        <w:pStyle w:val="a3"/>
        <w:numPr>
          <w:ilvl w:val="0"/>
          <w:numId w:val="5"/>
        </w:numPr>
        <w:spacing w:after="120" w:line="276" w:lineRule="auto"/>
        <w:ind w:left="680" w:hanging="340"/>
        <w:contextualSpacing w:val="0"/>
        <w:jc w:val="both"/>
        <w:rPr>
          <w:rFonts w:eastAsia="Times New Roman" w:cstheme="minorHAnsi"/>
          <w:lang w:eastAsia="el-GR"/>
        </w:rPr>
      </w:pPr>
      <w:r>
        <w:t>Για το Α’ εξάμηνο, υποβολή τον Ιούλιο του έτους αναφοράς.</w:t>
      </w:r>
    </w:p>
    <w:p w:rsidR="00862BDE" w:rsidRPr="00543239" w:rsidRDefault="00543239" w:rsidP="000D268C">
      <w:pPr>
        <w:pStyle w:val="a3"/>
        <w:numPr>
          <w:ilvl w:val="0"/>
          <w:numId w:val="5"/>
        </w:numPr>
        <w:spacing w:after="120" w:line="276" w:lineRule="auto"/>
        <w:ind w:left="680" w:hanging="340"/>
        <w:contextualSpacing w:val="0"/>
        <w:jc w:val="both"/>
        <w:rPr>
          <w:rFonts w:eastAsia="Times New Roman" w:cstheme="minorHAnsi"/>
          <w:lang w:eastAsia="el-GR"/>
        </w:rPr>
      </w:pPr>
      <w:r>
        <w:t>Για το Β’ εξάμηνο, υποβολή τον Ιανουάριο του επομένου έτους.</w:t>
      </w:r>
    </w:p>
    <w:p w:rsidR="00350C82" w:rsidRDefault="00350C82" w:rsidP="00543239">
      <w:pPr>
        <w:pStyle w:val="a3"/>
        <w:keepNext/>
        <w:spacing w:before="120" w:after="120" w:line="276" w:lineRule="auto"/>
        <w:ind w:left="340" w:hanging="340"/>
        <w:contextualSpacing w:val="0"/>
        <w:rPr>
          <w:b/>
          <w:color w:val="44546A" w:themeColor="text2"/>
          <w:sz w:val="24"/>
          <w:u w:val="single"/>
        </w:rPr>
      </w:pPr>
    </w:p>
    <w:p w:rsidR="008747FF" w:rsidRDefault="00543239" w:rsidP="00543239">
      <w:pPr>
        <w:pStyle w:val="a3"/>
        <w:keepNext/>
        <w:spacing w:before="120" w:after="120" w:line="276" w:lineRule="auto"/>
        <w:ind w:left="340" w:hanging="340"/>
        <w:contextualSpacing w:val="0"/>
        <w:rPr>
          <w:rFonts w:eastAsia="Times New Roman" w:cstheme="minorHAnsi"/>
          <w:lang w:eastAsia="el-GR"/>
        </w:rPr>
      </w:pPr>
      <w:r w:rsidRPr="00543239">
        <w:rPr>
          <w:b/>
          <w:color w:val="44546A" w:themeColor="text2"/>
          <w:sz w:val="24"/>
          <w:u w:val="single"/>
        </w:rPr>
        <w:t xml:space="preserve">2. </w:t>
      </w:r>
      <w:r w:rsidR="008747FF" w:rsidRPr="00543239">
        <w:rPr>
          <w:b/>
          <w:color w:val="44546A" w:themeColor="text2"/>
          <w:sz w:val="24"/>
          <w:u w:val="single"/>
        </w:rPr>
        <w:t xml:space="preserve">Ερωτηματολόγιο </w:t>
      </w:r>
      <w:r w:rsidR="005052CC" w:rsidRPr="00543239">
        <w:rPr>
          <w:b/>
          <w:color w:val="44546A" w:themeColor="text2"/>
          <w:sz w:val="24"/>
          <w:u w:val="single"/>
        </w:rPr>
        <w:t>03 (Σταθερ</w:t>
      </w:r>
      <w:r w:rsidR="00350C82">
        <w:rPr>
          <w:b/>
          <w:color w:val="44546A" w:themeColor="text2"/>
          <w:sz w:val="24"/>
          <w:u w:val="single"/>
        </w:rPr>
        <w:t>ές επικοινωνίες</w:t>
      </w:r>
      <w:r w:rsidR="008747FF" w:rsidRPr="00543239">
        <w:rPr>
          <w:b/>
          <w:color w:val="44546A" w:themeColor="text2"/>
          <w:sz w:val="24"/>
          <w:u w:val="single"/>
        </w:rPr>
        <w:t>)</w:t>
      </w:r>
    </w:p>
    <w:p w:rsidR="00255EAC" w:rsidRPr="00255EAC" w:rsidRDefault="00350C82" w:rsidP="009150E3">
      <w:pPr>
        <w:jc w:val="both"/>
        <w:rPr>
          <w:b/>
        </w:rPr>
      </w:pPr>
      <w:r>
        <w:rPr>
          <w:b/>
        </w:rPr>
        <w:t>2.1 Αλλαγές στο φύλλο εργασίας «Αγορά Σταθερής»</w:t>
      </w:r>
    </w:p>
    <w:p w:rsidR="00255EAC" w:rsidRDefault="00255EAC" w:rsidP="00780C45">
      <w:pPr>
        <w:pStyle w:val="a3"/>
        <w:numPr>
          <w:ilvl w:val="0"/>
          <w:numId w:val="6"/>
        </w:numPr>
        <w:jc w:val="both"/>
        <w:rPr>
          <w:rFonts w:eastAsia="Times New Roman" w:cstheme="minorHAnsi"/>
          <w:color w:val="000000"/>
          <w:lang w:eastAsia="el-GR"/>
        </w:rPr>
      </w:pPr>
      <w:r>
        <w:rPr>
          <w:rFonts w:eastAsia="Times New Roman" w:cstheme="minorHAnsi"/>
          <w:color w:val="000000"/>
          <w:lang w:eastAsia="el-GR"/>
        </w:rPr>
        <w:t>Έχει μετονομαστεί η ενότητα σε «</w:t>
      </w:r>
      <w:r w:rsidRPr="00255EAC">
        <w:rPr>
          <w:rFonts w:eastAsia="Times New Roman" w:cstheme="minorHAnsi"/>
          <w:b/>
          <w:color w:val="000000"/>
          <w:lang w:eastAsia="el-GR"/>
        </w:rPr>
        <w:t>2.Πρόσβαση και υπηρεσίες Διαδικτύου</w:t>
      </w:r>
      <w:r>
        <w:rPr>
          <w:rFonts w:eastAsia="Times New Roman" w:cstheme="minorHAnsi"/>
          <w:color w:val="000000"/>
          <w:lang w:eastAsia="el-GR"/>
        </w:rPr>
        <w:t>» ώστε στη συγκεκριμένη να αναφέρονται τόσο τα λιανικά έσοδα από υπηρεσίες διαδικτύου όσο και τα αντίστοιχα έσοδα της πρόσβασης σε αυτές.</w:t>
      </w:r>
    </w:p>
    <w:p w:rsidR="00255EAC" w:rsidRPr="00255EAC" w:rsidRDefault="00255EAC" w:rsidP="00255EAC">
      <w:pPr>
        <w:pStyle w:val="a3"/>
        <w:numPr>
          <w:ilvl w:val="0"/>
          <w:numId w:val="6"/>
        </w:numPr>
        <w:rPr>
          <w:rFonts w:eastAsia="Times New Roman" w:cstheme="minorHAnsi"/>
          <w:color w:val="000000"/>
          <w:lang w:eastAsia="el-GR"/>
        </w:rPr>
      </w:pPr>
      <w:r w:rsidRPr="00255EAC">
        <w:rPr>
          <w:rFonts w:eastAsia="Times New Roman" w:cstheme="minorHAnsi"/>
          <w:color w:val="000000"/>
          <w:lang w:eastAsia="el-GR"/>
        </w:rPr>
        <w:lastRenderedPageBreak/>
        <w:t>Έχει τροποποιηθεί το ερώτημα Α 2.3 ώστε να περιλαμβάνει και τα έσοδα υπηρεσιών διαδικτύου μέσω των γραμμών VLU.</w:t>
      </w:r>
    </w:p>
    <w:p w:rsidR="009150E3" w:rsidRDefault="001422F4" w:rsidP="00455651">
      <w:pPr>
        <w:jc w:val="both"/>
        <w:rPr>
          <w:rFonts w:eastAsia="Times New Roman" w:cstheme="minorHAnsi"/>
          <w:color w:val="000000"/>
          <w:lang w:eastAsia="el-GR"/>
        </w:rPr>
      </w:pPr>
      <w:r>
        <w:rPr>
          <w:rFonts w:eastAsia="Times New Roman" w:cstheme="minorHAnsi"/>
          <w:color w:val="000000"/>
          <w:lang w:eastAsia="el-GR"/>
        </w:rPr>
        <w:t xml:space="preserve"> </w:t>
      </w:r>
      <w:r w:rsidR="009150E3">
        <w:rPr>
          <w:rFonts w:eastAsia="Times New Roman" w:cstheme="minorHAnsi"/>
          <w:color w:val="000000"/>
          <w:lang w:eastAsia="el-GR"/>
        </w:rPr>
        <w:t>Η</w:t>
      </w:r>
      <w:r w:rsidR="00332D79">
        <w:rPr>
          <w:rFonts w:eastAsia="Times New Roman" w:cstheme="minorHAnsi"/>
          <w:color w:val="000000"/>
          <w:lang w:eastAsia="el-GR"/>
        </w:rPr>
        <w:t xml:space="preserve"> </w:t>
      </w:r>
      <w:r w:rsidR="009150E3">
        <w:rPr>
          <w:rFonts w:eastAsia="Times New Roman" w:cstheme="minorHAnsi"/>
          <w:color w:val="000000"/>
          <w:lang w:eastAsia="el-GR"/>
        </w:rPr>
        <w:t>προτεινόμενη αλλαγή απεικονίζεται</w:t>
      </w:r>
      <w:r>
        <w:rPr>
          <w:rFonts w:eastAsia="Times New Roman" w:cstheme="minorHAnsi"/>
          <w:color w:val="000000"/>
          <w:lang w:eastAsia="el-GR"/>
        </w:rPr>
        <w:t xml:space="preserve"> παρακάτω:</w:t>
      </w:r>
      <w:r w:rsidR="00721CEF">
        <w:rPr>
          <w:rFonts w:eastAsia="Times New Roman" w:cstheme="minorHAnsi"/>
          <w:color w:val="000000"/>
          <w:lang w:eastAsia="el-GR"/>
        </w:rPr>
        <w:t xml:space="preserve"> </w:t>
      </w:r>
    </w:p>
    <w:p w:rsidR="009150E3" w:rsidRDefault="00255EAC" w:rsidP="00455651">
      <w:pPr>
        <w:jc w:val="both"/>
        <w:rPr>
          <w:rFonts w:eastAsia="Times New Roman" w:cstheme="minorHAnsi"/>
          <w:color w:val="000000"/>
          <w:lang w:eastAsia="el-GR"/>
        </w:rPr>
      </w:pPr>
      <w:r w:rsidRPr="00255EAC">
        <w:rPr>
          <w:rFonts w:eastAsia="Times New Roman" w:cstheme="minorHAnsi"/>
          <w:noProof/>
          <w:color w:val="000000"/>
          <w:lang w:eastAsia="el-GR"/>
        </w:rPr>
        <w:drawing>
          <wp:inline distT="0" distB="0" distL="0" distR="0" wp14:anchorId="73B59321" wp14:editId="2F1AF8DC">
            <wp:extent cx="5763429" cy="1295581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3429" cy="1295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0C82" w:rsidRPr="00543239" w:rsidRDefault="00350C82" w:rsidP="00350C82">
      <w:pPr>
        <w:keepNext/>
        <w:spacing w:after="120" w:line="276" w:lineRule="auto"/>
        <w:jc w:val="both"/>
        <w:rPr>
          <w:b/>
        </w:rPr>
      </w:pPr>
      <w:r>
        <w:rPr>
          <w:b/>
        </w:rPr>
        <w:t>2</w:t>
      </w:r>
      <w:r w:rsidRPr="00350C82">
        <w:rPr>
          <w:b/>
        </w:rPr>
        <w:t xml:space="preserve">.2 </w:t>
      </w:r>
      <w:r w:rsidRPr="00543239">
        <w:rPr>
          <w:b/>
        </w:rPr>
        <w:t>Αλλαγές στις Οδηγίες Συμπλήρωσης</w:t>
      </w:r>
    </w:p>
    <w:p w:rsidR="00513450" w:rsidRPr="00DA7391" w:rsidRDefault="00350C82" w:rsidP="00513450">
      <w:pPr>
        <w:shd w:val="clear" w:color="auto" w:fill="FFFFFF"/>
        <w:spacing w:after="120" w:line="264" w:lineRule="auto"/>
        <w:contextualSpacing/>
        <w:jc w:val="both"/>
      </w:pPr>
      <w:r>
        <w:t>Οι οδηγίες συμπλή</w:t>
      </w:r>
      <w:r w:rsidR="00CE6793">
        <w:t xml:space="preserve">ρωσης έχουν τροποποιηθεί, ώστε να γίνεται σαφής ο διαχωρισμός των λιανικών εσόδων </w:t>
      </w:r>
      <w:r w:rsidR="00513450">
        <w:t>πρόσβασης</w:t>
      </w:r>
      <w:r w:rsidR="00DA7391">
        <w:t xml:space="preserve"> (</w:t>
      </w:r>
      <w:r w:rsidR="00DA7391" w:rsidRPr="00DA7391">
        <w:rPr>
          <w:i/>
        </w:rPr>
        <w:t>σ</w:t>
      </w:r>
      <w:r w:rsidR="00513450" w:rsidRPr="00DA7391">
        <w:rPr>
          <w:i/>
        </w:rPr>
        <w:t>την περίπτωση που</w:t>
      </w:r>
      <w:r w:rsidR="001230CB" w:rsidRPr="00315F27">
        <w:rPr>
          <w:i/>
        </w:rPr>
        <w:t>,</w:t>
      </w:r>
      <w:r w:rsidR="00513450" w:rsidRPr="00DA7391">
        <w:rPr>
          <w:i/>
        </w:rPr>
        <w:t xml:space="preserve"> στην γραμμή πρόσβασης εκτός από τις τηλεφωνικές υπηρεσίες παρέχονται και υπηρεσίες διαδικτύου, τότε τα λιανικά έσοδα πρόσβασης πρέπει να επιμερισθούν αναλόγως</w:t>
      </w:r>
      <w:r w:rsidR="00315F27" w:rsidRPr="00315F27">
        <w:rPr>
          <w:i/>
        </w:rPr>
        <w:t xml:space="preserve"> </w:t>
      </w:r>
      <w:r w:rsidR="00315F27" w:rsidRPr="00B15D29">
        <w:rPr>
          <w:i/>
        </w:rPr>
        <w:t>(</w:t>
      </w:r>
      <w:r w:rsidR="00B15D29">
        <w:rPr>
          <w:i/>
          <w:lang w:val="en-US"/>
        </w:rPr>
        <w:t>o</w:t>
      </w:r>
      <w:r w:rsidR="00B15D29" w:rsidRPr="00B15D29">
        <w:rPr>
          <w:i/>
        </w:rPr>
        <w:t xml:space="preserve"> τρόπος διαχωρισμού των εσόδων ανά υπηρεσία επαφίεται στον κάθε πάροχο)</w:t>
      </w:r>
      <w:bookmarkStart w:id="0" w:name="_GoBack"/>
      <w:bookmarkEnd w:id="0"/>
      <w:r w:rsidR="00DA7391">
        <w:rPr>
          <w:i/>
        </w:rPr>
        <w:t>, με τ</w:t>
      </w:r>
      <w:r w:rsidR="00513450" w:rsidRPr="00DA7391">
        <w:rPr>
          <w:i/>
        </w:rPr>
        <w:t xml:space="preserve">α έσοδα πρόσβασης σε τηλεφωνικές υπηρεσίες </w:t>
      </w:r>
      <w:r w:rsidR="00DA7391">
        <w:rPr>
          <w:i/>
        </w:rPr>
        <w:t xml:space="preserve">να </w:t>
      </w:r>
      <w:r w:rsidR="00513450" w:rsidRPr="00DA7391">
        <w:rPr>
          <w:i/>
        </w:rPr>
        <w:t xml:space="preserve">καταχωρούνται στο </w:t>
      </w:r>
      <w:r w:rsidR="004204CA" w:rsidRPr="00DA7391">
        <w:rPr>
          <w:i/>
        </w:rPr>
        <w:t xml:space="preserve">ερώτημα </w:t>
      </w:r>
      <w:r w:rsidR="00513450" w:rsidRPr="00DA7391">
        <w:rPr>
          <w:i/>
        </w:rPr>
        <w:t>1.3  και τα έσοδα πρόσβασης σε υπηρεσίες διαδικτύου στην ενότητα «2. Πρόσβαση και υπηρεσίες  Διαδικτύου»</w:t>
      </w:r>
      <w:r w:rsidR="00DA7391">
        <w:rPr>
          <w:i/>
        </w:rPr>
        <w:t>)</w:t>
      </w:r>
      <w:r w:rsidR="00513450" w:rsidRPr="00DA7391">
        <w:t>.</w:t>
      </w:r>
    </w:p>
    <w:p w:rsidR="00350C82" w:rsidRDefault="00350C82" w:rsidP="00350C82">
      <w:pPr>
        <w:jc w:val="both"/>
        <w:rPr>
          <w:rFonts w:eastAsia="Times New Roman" w:cstheme="minorHAnsi"/>
          <w:color w:val="000000"/>
          <w:lang w:eastAsia="el-GR"/>
        </w:rPr>
      </w:pPr>
    </w:p>
    <w:p w:rsidR="001422F4" w:rsidRDefault="008E6D96" w:rsidP="00455651">
      <w:pPr>
        <w:jc w:val="both"/>
        <w:rPr>
          <w:rFonts w:eastAsia="Times New Roman" w:cstheme="minorHAnsi"/>
          <w:color w:val="000000"/>
          <w:lang w:eastAsia="el-GR"/>
        </w:rPr>
      </w:pPr>
      <w:r>
        <w:rPr>
          <w:b/>
          <w:color w:val="44546A" w:themeColor="text2"/>
          <w:sz w:val="24"/>
          <w:u w:val="single"/>
        </w:rPr>
        <w:t>3</w:t>
      </w:r>
      <w:r w:rsidRPr="00543239">
        <w:rPr>
          <w:b/>
          <w:color w:val="44546A" w:themeColor="text2"/>
          <w:sz w:val="24"/>
          <w:u w:val="single"/>
        </w:rPr>
        <w:t>. Ερωτηματολόγι</w:t>
      </w:r>
      <w:r w:rsidR="00CA7B63">
        <w:rPr>
          <w:b/>
          <w:color w:val="44546A" w:themeColor="text2"/>
          <w:sz w:val="24"/>
          <w:u w:val="single"/>
        </w:rPr>
        <w:t>α</w:t>
      </w:r>
      <w:r w:rsidRPr="00543239">
        <w:rPr>
          <w:b/>
          <w:color w:val="44546A" w:themeColor="text2"/>
          <w:sz w:val="24"/>
          <w:u w:val="single"/>
        </w:rPr>
        <w:t xml:space="preserve"> 0</w:t>
      </w:r>
      <w:r w:rsidR="00CA7B63">
        <w:rPr>
          <w:b/>
          <w:color w:val="44546A" w:themeColor="text2"/>
          <w:sz w:val="24"/>
          <w:u w:val="single"/>
        </w:rPr>
        <w:t>4α</w:t>
      </w:r>
      <w:r w:rsidRPr="00543239">
        <w:rPr>
          <w:b/>
          <w:color w:val="44546A" w:themeColor="text2"/>
          <w:sz w:val="24"/>
          <w:u w:val="single"/>
        </w:rPr>
        <w:t xml:space="preserve"> (</w:t>
      </w:r>
      <w:r w:rsidR="00CA7B63">
        <w:rPr>
          <w:b/>
          <w:color w:val="44546A" w:themeColor="text2"/>
          <w:sz w:val="24"/>
          <w:u w:val="single"/>
        </w:rPr>
        <w:t>Κινητές συνδέσεις) και 04β (Κινητές</w:t>
      </w:r>
      <w:r>
        <w:rPr>
          <w:b/>
          <w:color w:val="44546A" w:themeColor="text2"/>
          <w:sz w:val="24"/>
          <w:u w:val="single"/>
        </w:rPr>
        <w:t xml:space="preserve"> επικοινωνίες</w:t>
      </w:r>
      <w:r w:rsidRPr="00543239">
        <w:rPr>
          <w:b/>
          <w:color w:val="44546A" w:themeColor="text2"/>
          <w:sz w:val="24"/>
          <w:u w:val="single"/>
        </w:rPr>
        <w:t>)</w:t>
      </w:r>
    </w:p>
    <w:p w:rsidR="00E412E3" w:rsidRDefault="00CA7B63" w:rsidP="00CA7B63">
      <w:pPr>
        <w:ind w:left="-567" w:firstLine="567"/>
        <w:rPr>
          <w:b/>
        </w:rPr>
      </w:pPr>
      <w:r>
        <w:rPr>
          <w:b/>
        </w:rPr>
        <w:t>3.1</w:t>
      </w:r>
      <w:r w:rsidRPr="00350C82">
        <w:rPr>
          <w:b/>
        </w:rPr>
        <w:t xml:space="preserve"> </w:t>
      </w:r>
      <w:r w:rsidRPr="00543239">
        <w:rPr>
          <w:b/>
        </w:rPr>
        <w:t>Αλλαγές στις Οδηγίες Συμπλήρωσης</w:t>
      </w:r>
    </w:p>
    <w:p w:rsidR="00CA7B63" w:rsidRPr="00CA7B63" w:rsidRDefault="00CA7B63" w:rsidP="00CA7B63">
      <w:pPr>
        <w:jc w:val="both"/>
        <w:rPr>
          <w:rFonts w:eastAsia="Times New Roman" w:cstheme="minorHAnsi"/>
          <w:lang w:eastAsia="el-GR"/>
        </w:rPr>
      </w:pPr>
      <w:r>
        <w:rPr>
          <w:rFonts w:eastAsia="Times New Roman" w:cstheme="minorHAnsi"/>
          <w:lang w:eastAsia="el-GR"/>
        </w:rPr>
        <w:t xml:space="preserve">Έχουν πραγματοποιηθεί αλλαγές στον ορισμό του </w:t>
      </w:r>
      <w:proofErr w:type="spellStart"/>
      <w:r>
        <w:rPr>
          <w:rFonts w:eastAsia="Times New Roman" w:cstheme="minorHAnsi"/>
          <w:lang w:val="en-US" w:eastAsia="el-GR"/>
        </w:rPr>
        <w:t>Homezone</w:t>
      </w:r>
      <w:proofErr w:type="spellEnd"/>
      <w:r w:rsidRPr="00CA7B63">
        <w:rPr>
          <w:rFonts w:eastAsia="Times New Roman" w:cstheme="minorHAnsi"/>
          <w:lang w:eastAsia="el-GR"/>
        </w:rPr>
        <w:t xml:space="preserve"> </w:t>
      </w:r>
      <w:r>
        <w:rPr>
          <w:rFonts w:eastAsia="Times New Roman" w:cstheme="minorHAnsi"/>
          <w:lang w:eastAsia="el-GR"/>
        </w:rPr>
        <w:t xml:space="preserve">και οι σχετικές οδηγίες έχουν </w:t>
      </w:r>
      <w:proofErr w:type="spellStart"/>
      <w:r>
        <w:rPr>
          <w:rFonts w:eastAsia="Times New Roman" w:cstheme="minorHAnsi"/>
          <w:lang w:eastAsia="el-GR"/>
        </w:rPr>
        <w:t>επικαιροποιηθεί</w:t>
      </w:r>
      <w:proofErr w:type="spellEnd"/>
      <w:r>
        <w:rPr>
          <w:rFonts w:eastAsia="Times New Roman" w:cstheme="minorHAnsi"/>
          <w:lang w:eastAsia="el-GR"/>
        </w:rPr>
        <w:t xml:space="preserve"> αναλόγως.</w:t>
      </w:r>
    </w:p>
    <w:sectPr w:rsidR="00CA7B63" w:rsidRPr="00CA7B63" w:rsidSect="00350C82">
      <w:pgSz w:w="11906" w:h="16838"/>
      <w:pgMar w:top="1276" w:right="1274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E05D6"/>
    <w:multiLevelType w:val="hybridMultilevel"/>
    <w:tmpl w:val="02C225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966DE"/>
    <w:multiLevelType w:val="hybridMultilevel"/>
    <w:tmpl w:val="5A1677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304C0F"/>
    <w:multiLevelType w:val="hybridMultilevel"/>
    <w:tmpl w:val="65BA2728"/>
    <w:lvl w:ilvl="0" w:tplc="04080005">
      <w:start w:val="1"/>
      <w:numFmt w:val="bullet"/>
      <w:lvlText w:val=""/>
      <w:lvlJc w:val="left"/>
      <w:pPr>
        <w:ind w:left="1366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3" w15:restartNumberingAfterBreak="0">
    <w:nsid w:val="6491502A"/>
    <w:multiLevelType w:val="multilevel"/>
    <w:tmpl w:val="0EEE0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7B1477F2"/>
    <w:multiLevelType w:val="hybridMultilevel"/>
    <w:tmpl w:val="9F342CF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0860EB"/>
    <w:multiLevelType w:val="hybridMultilevel"/>
    <w:tmpl w:val="53D0B2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EC4"/>
    <w:rsid w:val="000B0593"/>
    <w:rsid w:val="000F7146"/>
    <w:rsid w:val="001230CB"/>
    <w:rsid w:val="001422F4"/>
    <w:rsid w:val="00145A20"/>
    <w:rsid w:val="00151C5D"/>
    <w:rsid w:val="0018202D"/>
    <w:rsid w:val="00193277"/>
    <w:rsid w:val="001B622B"/>
    <w:rsid w:val="001B6A43"/>
    <w:rsid w:val="00255EAC"/>
    <w:rsid w:val="002819A7"/>
    <w:rsid w:val="002F4FEE"/>
    <w:rsid w:val="00315F27"/>
    <w:rsid w:val="00317A4F"/>
    <w:rsid w:val="00320CB2"/>
    <w:rsid w:val="00332D79"/>
    <w:rsid w:val="00350C82"/>
    <w:rsid w:val="00364876"/>
    <w:rsid w:val="00365367"/>
    <w:rsid w:val="003716DA"/>
    <w:rsid w:val="004204CA"/>
    <w:rsid w:val="00433C24"/>
    <w:rsid w:val="00440737"/>
    <w:rsid w:val="00455651"/>
    <w:rsid w:val="004642E0"/>
    <w:rsid w:val="004C41BD"/>
    <w:rsid w:val="004D755F"/>
    <w:rsid w:val="005052CC"/>
    <w:rsid w:val="0051087A"/>
    <w:rsid w:val="00513450"/>
    <w:rsid w:val="00522274"/>
    <w:rsid w:val="00540E5C"/>
    <w:rsid w:val="00543239"/>
    <w:rsid w:val="005C0740"/>
    <w:rsid w:val="00601870"/>
    <w:rsid w:val="0062665D"/>
    <w:rsid w:val="00645A97"/>
    <w:rsid w:val="006962CC"/>
    <w:rsid w:val="007013E7"/>
    <w:rsid w:val="00721CEF"/>
    <w:rsid w:val="0079454E"/>
    <w:rsid w:val="007C6DBD"/>
    <w:rsid w:val="00862BDE"/>
    <w:rsid w:val="008747FF"/>
    <w:rsid w:val="00890A98"/>
    <w:rsid w:val="008A7444"/>
    <w:rsid w:val="008E4DDD"/>
    <w:rsid w:val="008E6D96"/>
    <w:rsid w:val="009150E3"/>
    <w:rsid w:val="00936612"/>
    <w:rsid w:val="00A01E8A"/>
    <w:rsid w:val="00A4226E"/>
    <w:rsid w:val="00A77682"/>
    <w:rsid w:val="00AE72B7"/>
    <w:rsid w:val="00AF71F4"/>
    <w:rsid w:val="00B15D29"/>
    <w:rsid w:val="00B64870"/>
    <w:rsid w:val="00C43BA9"/>
    <w:rsid w:val="00CA2069"/>
    <w:rsid w:val="00CA7B63"/>
    <w:rsid w:val="00CE6793"/>
    <w:rsid w:val="00D0678E"/>
    <w:rsid w:val="00D14378"/>
    <w:rsid w:val="00D41C5B"/>
    <w:rsid w:val="00D87FA3"/>
    <w:rsid w:val="00DA7391"/>
    <w:rsid w:val="00E02EC4"/>
    <w:rsid w:val="00E412E3"/>
    <w:rsid w:val="00E83C20"/>
    <w:rsid w:val="00E93EBE"/>
    <w:rsid w:val="00EA5E94"/>
    <w:rsid w:val="00F6405C"/>
    <w:rsid w:val="00F84C63"/>
    <w:rsid w:val="00F920CB"/>
    <w:rsid w:val="00F96365"/>
    <w:rsid w:val="00FC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E87E2"/>
  <w15:chartTrackingRefBased/>
  <w15:docId w15:val="{5DE3DF68-0198-410C-B49B-3926C11C4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E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1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D38A6-EE40-4DA4-AA3F-6D0062C96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362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Nikitopoulos Andreas</dc:creator>
  <cp:keywords/>
  <dc:description/>
  <cp:lastModifiedBy>Nikitopoulos Andreas</cp:lastModifiedBy>
  <cp:revision>5</cp:revision>
  <dcterms:created xsi:type="dcterms:W3CDTF">2025-11-03T13:36:00Z</dcterms:created>
  <dcterms:modified xsi:type="dcterms:W3CDTF">2025-11-04T08:49:00Z</dcterms:modified>
</cp:coreProperties>
</file>